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2775363B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E378E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423D91C3" w14:textId="5C64F997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3E378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3E378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851DA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52741C" w:rsidR="00FD4000" w:rsidRPr="00FD4000" w:rsidRDefault="009807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84EBBA" w:rsidR="00015B8F" w:rsidRPr="009C54AE" w:rsidRDefault="00E91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Współpraca w układzie B2B, biznes –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NGO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>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D9CF04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1449B78D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Kooperacja w perspektywie zasobów niematerialnych organizacji, </w:t>
            </w: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>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lastRenderedPageBreak/>
              <w:t>Pierścieniak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 xml:space="preserve">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 xml:space="preserve">Grabiec O., Efekty strategiczne współdziałania organizacji, Zeszyty Naukowe Wyższej Szkoły </w:t>
            </w:r>
            <w:proofErr w:type="spellStart"/>
            <w:r w:rsidRPr="002C46F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2C46F1">
              <w:rPr>
                <w:rFonts w:ascii="Corbel" w:hAnsi="Corbel"/>
                <w:sz w:val="24"/>
                <w:szCs w:val="24"/>
              </w:rPr>
              <w:t>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48F20" w14:textId="77777777" w:rsidR="002611D7" w:rsidRDefault="002611D7" w:rsidP="00C16ABF">
      <w:pPr>
        <w:spacing w:after="0" w:line="240" w:lineRule="auto"/>
      </w:pPr>
      <w:r>
        <w:separator/>
      </w:r>
    </w:p>
  </w:endnote>
  <w:endnote w:type="continuationSeparator" w:id="0">
    <w:p w14:paraId="4A7A3F6C" w14:textId="77777777" w:rsidR="002611D7" w:rsidRDefault="002611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E97BC" w14:textId="77777777" w:rsidR="002611D7" w:rsidRDefault="002611D7" w:rsidP="00C16ABF">
      <w:pPr>
        <w:spacing w:after="0" w:line="240" w:lineRule="auto"/>
      </w:pPr>
      <w:r>
        <w:separator/>
      </w:r>
    </w:p>
  </w:footnote>
  <w:footnote w:type="continuationSeparator" w:id="0">
    <w:p w14:paraId="0999FE13" w14:textId="77777777" w:rsidR="002611D7" w:rsidRDefault="002611D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7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78E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B5F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09A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DAC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07F8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F64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11D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E48A13-FB52-4CCA-9E30-164C16C7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2021-01-17T19:15:00Z</dcterms:created>
  <dcterms:modified xsi:type="dcterms:W3CDTF">2022-02-11T09:17:00Z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